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60000" cy="7476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stri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747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 w:line="259" w:lineRule="auto"/>
        <w:jc w:val="center"/>
      </w:pPr>
      <w:r>
        <w:rPr>
          <w:rFonts w:ascii="Calibri" w:hAnsi="Calibri"/>
          <w:b/>
          <w:color w:val="C6CBCD"/>
          <w:sz w:val="36"/>
        </w:rPr>
        <w:t>GEOLAB II</w:t>
      </w:r>
    </w:p>
    <w:p>
      <w:pPr>
        <w:spacing w:before="0" w:after="160" w:line="259" w:lineRule="auto"/>
        <w:jc w:val="center"/>
      </w:pPr>
      <w:r>
        <w:rPr>
          <w:rFonts w:ascii="Calibri" w:hAnsi="Calibri"/>
          <w:b/>
          <w:color w:val="006C67"/>
          <w:sz w:val="56"/>
        </w:rPr>
        <w:t>Plan de formation</w:t>
      </w:r>
    </w:p>
    <w:p>
      <w:pPr>
        <w:spacing w:before="0" w:after="360" w:line="259" w:lineRule="auto"/>
        <w:jc w:val="center"/>
      </w:pPr>
      <w:r>
        <w:rPr>
          <w:rFonts w:ascii="Calibri" w:hAnsi="Calibri"/>
          <w:b/>
          <w:color w:val="233752"/>
          <w:sz w:val="28"/>
        </w:rPr>
        <w:t>Administrateurs et utilisateurs de laboratoire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Document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Plan de cours et guide d’animation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Public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Administrateurs de laboratoire, techniciens/utilisateurs, superviseurs et administrateurs métier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Durée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5 heures - 09h00-12h00 et 13h30-15h30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Environnement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GeoLab II - Préproduction</w:t>
            </w:r>
          </w:p>
        </w:tc>
      </w:tr>
    </w:tbl>
    <w:p/>
    <w:p>
      <w:pPr>
        <w:jc w:val="center"/>
      </w:pPr>
      <w:r>
        <w:rPr>
          <w:rFonts w:ascii="Calibri" w:hAnsi="Calibri"/>
          <w:i/>
          <w:color w:val="606B78"/>
          <w:sz w:val="17"/>
        </w:rPr>
        <w:t>Version préparée à partir des guides Administrateur et Utilisateur GeoLab II, de la présentation projet et de l’analyse fonctionnelle des nouveaux modules.</w:t>
      </w:r>
    </w:p>
    <w:p>
      <w:r>
        <w:br w:type="page"/>
      </w:r>
    </w:p>
    <w:p>
      <w:pPr>
        <w:pStyle w:val="Heading1"/>
      </w:pPr>
      <w:r>
        <w:t>1. Cadre de la formation</w:t>
      </w:r>
    </w:p>
    <w:p>
      <w:pPr>
        <w:pStyle w:val="Lead"/>
      </w:pPr>
      <w:r>
        <w:rPr>
          <w:b w:val="0"/>
        </w:rPr>
        <w:t>Cette formation d’une journée vise une prise en main opérationnelle de GeoLab II, avec un tronc commun et des séquences différenciées selon les responsabilités.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5185"/>
            <w:shd w:fill="DDE8F5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233752"/>
                <w:sz w:val="18"/>
              </w:rPr>
              <w:t>Format</w:t>
            </w:r>
          </w:p>
        </w:tc>
        <w:tc>
          <w:tcPr>
            <w:tcW w:type="dxa" w:w="5185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8"/>
              </w:rPr>
              <w:t>Présentiel ou classe virtuelle avec démonstration en préproduction et exercices guidés.</w:t>
            </w:r>
          </w:p>
        </w:tc>
      </w:tr>
      <w:tr>
        <w:tc>
          <w:tcPr>
            <w:tcW w:type="dxa" w:w="5185"/>
            <w:shd w:fill="DDE8F5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Durée</w:t>
            </w:r>
          </w:p>
        </w:tc>
        <w:tc>
          <w:tcPr>
            <w:tcW w:type="dxa" w:w="518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5 heures effectives : 09h00-12h00 et 13h30-15h30.</w:t>
            </w:r>
          </w:p>
        </w:tc>
      </w:tr>
      <w:tr>
        <w:tc>
          <w:tcPr>
            <w:tcW w:type="dxa" w:w="5185"/>
            <w:shd w:fill="DDE8F5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Public principal</w:t>
            </w:r>
          </w:p>
        </w:tc>
        <w:tc>
          <w:tcPr>
            <w:tcW w:type="dxa" w:w="518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Administrateurs de laboratoire et techniciens/utilisateurs de laboratoire.</w:t>
            </w:r>
          </w:p>
        </w:tc>
      </w:tr>
      <w:tr>
        <w:tc>
          <w:tcPr>
            <w:tcW w:type="dxa" w:w="5185"/>
            <w:shd w:fill="DDE8F5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Public complémentaire</w:t>
            </w:r>
          </w:p>
        </w:tc>
        <w:tc>
          <w:tcPr>
            <w:tcW w:type="dxa" w:w="518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Superviseurs régionaux/ministériels et administrateurs métier chargés du référentiel.</w:t>
            </w:r>
          </w:p>
        </w:tc>
      </w:tr>
      <w:tr>
        <w:tc>
          <w:tcPr>
            <w:tcW w:type="dxa" w:w="5185"/>
            <w:shd w:fill="DDE8F5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Approche</w:t>
            </w:r>
          </w:p>
        </w:tc>
        <w:tc>
          <w:tcPr>
            <w:tcW w:type="dxa" w:w="518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30 % démonstration, 50 % pratique, 20 % évaluation et débriefing.</w:t>
            </w:r>
          </w:p>
        </w:tc>
      </w:tr>
      <w:tr>
        <w:tc>
          <w:tcPr>
            <w:tcW w:type="dxa" w:w="5185"/>
            <w:shd w:fill="DDE8F5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Périmètre exclu</w:t>
            </w:r>
          </w:p>
        </w:tc>
        <w:tc>
          <w:tcPr>
            <w:tcW w:type="dxa" w:w="518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Administration système, serveur, base de données et paramétrage avancé GeoServer/WMS : formation technique dédiée recommandée.</w:t>
            </w:r>
          </w:p>
        </w:tc>
      </w:tr>
    </w:tbl>
    <w:p>
      <w:pPr>
        <w:pStyle w:val="Small"/>
        <w:jc w:val="right"/>
      </w:pPr>
      <w:r>
        <w:rPr>
          <w:rFonts w:ascii="Calibri" w:hAnsi="Calibri"/>
          <w:i/>
          <w:color w:val="606B78"/>
          <w:sz w:val="16"/>
        </w:rPr>
        <w:t>Sources : Guide utilisateur, pp. 3-47 ; Guide administrateur, pp. 3-35.</w:t>
      </w:r>
    </w:p>
    <w:p>
      <w:pPr>
        <w:pStyle w:val="Heading1"/>
      </w:pPr>
      <w:r>
        <w:t>2. Objectifs pédagogiques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Se connecter à l’environnement de préproduction et identifier les menus accessibles selon son profil.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Mettre à jour la fiche signalétique d’un laboratoire : identification, géolocalisation, capacités, déterminations, équipements et ressources humaines.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Déclarer la capacité journalière en utilisant correctement les états Oui, Partiellement et Non, avec les raisons d’incapacité.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Enregistrer un approvisionnement et une consommation, puis contrôler le stock, les seuils critiques, les péremptions et l’historique des mouvements.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Exploiter la cartographie : filtres, couches, fonds, mesures et export.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Envoyer, recevoir et organiser des notifications ciblées.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Pour les administrateurs : gérer les comptes, les inscriptions, les groupes, les modèles de droits et l’étendue des données.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Pour les administrateurs métier : consulter ou maintenir les référentiels autorisés et l’annuaire des laboratoires.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Vérifier la traçabilité des opérations dans les historiques et le journal des interventions.</w:t>
      </w:r>
    </w:p>
    <w:p>
      <w:pPr>
        <w:pStyle w:val="Heading1"/>
      </w:pPr>
      <w:r>
        <w:t>3. Préparation et prérequis</w:t>
      </w:r>
    </w:p>
    <w:p>
      <w:pPr>
        <w:pStyle w:val="Heading2"/>
      </w:pPr>
      <w:r>
        <w:t>3.1 Préparation du formateur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Tester l’accès à la préproduction et vérifier les comptes de démonstration pour chaque rôle.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Affecter un laboratoire de formation à chaque binôme et communiquer les identifiants par un canal séparé du support de cours.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Préconfigurer au moins un consommable de formation avec unité de mesure et seuil minimum.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Définir une convention de nommage : FORM_&lt;groupe&gt;_&lt;objet&gt; pour tous les enregistrements créés pendant les exercices.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Vérifier les droits d’export PDF/Excel et l’ouverture des fenêtres contextuelles du navigateur.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Prévoir un plan de remise à zéro des données après la session ; éviter les suppressions dans un environnement partagé.</w:t>
      </w:r>
    </w:p>
    <w:p>
      <w:pPr>
        <w:pStyle w:val="Heading2"/>
      </w:pPr>
      <w:r>
        <w:t>3.2 Prérequis des participants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Un ordinateur avec navigateur récent, accès internet et autorisation de téléchargement.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Un compte de test attribué par le formateur ; ne pas modifier le mot de passe d’un compte générique partagé.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Connaissance minimale des données du laboratoire : déterminations, équipements, ressources et consommables.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Données fictives ou anonymisées pour les exercices.</w:t>
      </w:r>
    </w:p>
    <w:p>
      <w:r>
        <w:rPr>
          <w:rFonts w:ascii="Calibri" w:hAnsi="Calibri"/>
          <w:b/>
          <w:color w:val="233752"/>
          <w:sz w:val="20"/>
        </w:rPr>
        <w:t xml:space="preserve">Accès préproduction : </w:t>
      </w:r>
      <w:hyperlink r:id="rId12">
        <w:r>
          <w:rPr>
            <w:color w:val="0563C1"/>
            <w:u w:val="single"/>
            <w:rFonts w:ascii="Calibri" w:hAnsi="Calibri"/>
          </w:rPr>
          <w:t>https://geolab.delta-soft.net/geolab</w:t>
        </w:r>
      </w:hyperlink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2C7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E38B2C"/>
            </w:tcBorders>
          </w:tcPr>
          <w:p>
            <w:r>
              <w:rPr>
                <w:rFonts w:ascii="Calibri" w:hAnsi="Calibri"/>
                <w:b/>
                <w:color w:val="E38B2C"/>
                <w:sz w:val="21"/>
              </w:rPr>
              <w:t>Règles de sécurité pendant la formation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Ne jamais diffuser les mots de passe dans le support, la messagerie de groupe ou une capture d’écran.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Ne pas attribuer une étendue nationale, ministérielle ou régionale sans justification et validation.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Ne pas envoyer de notification à tous les utilisateurs : limiter les destinataires au groupe de formation.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Ne pas modifier un laboratoire réel ou une donnée de référence partagée sans accord explicite du formateur.</w:t>
            </w:r>
          </w:p>
        </w:tc>
      </w:tr>
    </w:tbl>
    <w:p>
      <w:pPr>
        <w:spacing w:after="20"/>
      </w:pPr>
    </w:p>
    <w:p>
      <w:pPr>
        <w:pStyle w:val="Heading1"/>
      </w:pPr>
      <w:r>
        <w:t>4. Déroulé détaillé de la journée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134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Horaire</w:t>
            </w:r>
          </w:p>
        </w:tc>
        <w:tc>
          <w:tcPr>
            <w:tcW w:type="dxa" w:w="794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Durée</w:t>
            </w:r>
          </w:p>
        </w:tc>
        <w:tc>
          <w:tcPr>
            <w:tcW w:type="dxa" w:w="1701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Séquence</w:t>
            </w:r>
          </w:p>
        </w:tc>
        <w:tc>
          <w:tcPr>
            <w:tcW w:type="dxa" w:w="4082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Contenu</w:t>
            </w:r>
          </w:p>
        </w:tc>
        <w:tc>
          <w:tcPr>
            <w:tcW w:type="dxa" w:w="1757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Méthode</w:t>
            </w:r>
          </w:p>
        </w:tc>
        <w:tc>
          <w:tcPr>
            <w:tcW w:type="dxa" w:w="1417"/>
            <w:shd w:fill="233752"/>
            <w:tcMar>
              <w:top w:w="42" w:type="dxa"/>
              <w:start w:w="55" w:type="dxa"/>
              <w:bottom w:w="42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Public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09h00-09h15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15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Accueil et cadrage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Objectifs, accès à la préproduction, règles de sécurité et répartition des comptes.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Cadrage + test de connexion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09h15-09h35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20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Vue d’ensemble et navigation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Nouveautés de GeoLab II, rôles, menus, recherche, filtres, exports et étendues de données.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 commentée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09h35-10h10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35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Fiche laboratoire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Identification, géolocalisation, capacité analytique, déterminations, équipements, RH et historique.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 guidée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10h10-10h25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15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Exercice 1 — fiche laboratoire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Contrôler puis mettre à jour une fiche de formation et vérifier la traçabilité.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Travail en binômes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Utilisateurs + admins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10h25-10h35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10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Pause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Pause technique.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—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10h35-11h05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30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Capacité journalière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États Oui/Partiellement/Non, raisons d’indisponibilité, notes et récapitulatif.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 + pratique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Utilisateurs + admins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11h05-11h40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35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Gestion des consommables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Approvisionnement, consommation, stock, seuils, péremptions, alertes et historique.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 guidée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Utilisateurs + admins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11h40-12h00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20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Exercice 2 — stock et alerte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Créer un mouvement de stock, provoquer une situation critique et contrôler l’historique.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Travail en binômes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Utilisateurs + admins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13h30-13h50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20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Cartographie et notifications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Filtres, couches, fonds, mesures et export ; envoi et suivi d’une notification ciblée.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13h50-14h25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35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Administration des accès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Utilisateurs, nouvelles inscriptions, groupes, modèles, permissions et étendues de données.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 guidée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Administrateurs ; observation pour utilisateurs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14h25-14h50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25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Référentiels et annuaire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Laboratoires, secteurs et territoires, produits, déterminations, méthodes, nomenclatures et consommables.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Démonstration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Administrateurs ; observation pour utilisateurs</w:t>
            </w:r>
          </w:p>
        </w:tc>
      </w:tr>
      <w:tr>
        <w:tc>
          <w:tcPr>
            <w:tcW w:type="dxa" w:w="113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14h50-15h15</w:t>
            </w:r>
          </w:p>
        </w:tc>
        <w:tc>
          <w:tcPr>
            <w:tcW w:type="dxa" w:w="794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25 min</w:t>
            </w:r>
          </w:p>
        </w:tc>
        <w:tc>
          <w:tcPr>
            <w:tcW w:type="dxa" w:w="1701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Exercice 3 — parcours inter-rôles</w:t>
            </w:r>
          </w:p>
        </w:tc>
        <w:tc>
          <w:tcPr>
            <w:tcW w:type="dxa" w:w="4082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Créer ou vérifier un utilisateur, contrôler ses droits puis retrouver l’action dans le journal.</w:t>
            </w:r>
          </w:p>
        </w:tc>
        <w:tc>
          <w:tcPr>
            <w:tcW w:type="dxa" w:w="175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Mise en situation</w:t>
            </w:r>
          </w:p>
        </w:tc>
        <w:tc>
          <w:tcPr>
            <w:tcW w:type="dxa" w:w="1417"/>
            <w:shd w:fill="F5F7F8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Tous, par rôle</w:t>
            </w:r>
          </w:p>
        </w:tc>
      </w:tr>
      <w:tr>
        <w:tc>
          <w:tcPr>
            <w:tcW w:type="dxa" w:w="113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15h15-15h30</w:t>
            </w:r>
          </w:p>
        </w:tc>
        <w:tc>
          <w:tcPr>
            <w:tcW w:type="dxa" w:w="794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15 min</w:t>
            </w:r>
          </w:p>
        </w:tc>
        <w:tc>
          <w:tcPr>
            <w:tcW w:type="dxa" w:w="1701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Contrôles, quiz et clôture</w:t>
            </w:r>
          </w:p>
        </w:tc>
        <w:tc>
          <w:tcPr>
            <w:tcW w:type="dxa" w:w="4082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Scénario intégré, contrôles de fin de session, quiz final et actions post-formation.</w:t>
            </w:r>
          </w:p>
        </w:tc>
        <w:tc>
          <w:tcPr>
            <w:tcW w:type="dxa" w:w="175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Évaluation + débriefing</w:t>
            </w:r>
          </w:p>
        </w:tc>
        <w:tc>
          <w:tcPr>
            <w:tcW w:type="dxa" w:w="1417"/>
            <w:shd w:fill="FFFFFF"/>
            <w:tcMar>
              <w:top w:w="42" w:type="dxa"/>
              <w:start w:w="55" w:type="dxa"/>
              <w:bottom w:w="42" w:type="dxa"/>
              <w:end w:w="5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4"/>
              </w:rPr>
              <w:t>Tous</w:t>
            </w:r>
          </w:p>
        </w:tc>
      </w:tr>
    </w:tbl>
    <w:p>
      <w:pPr>
        <w:pStyle w:val="Small"/>
        <w:jc w:val="right"/>
      </w:pPr>
      <w:r>
        <w:rPr>
          <w:rFonts w:ascii="Calibri" w:hAnsi="Calibri"/>
          <w:i/>
          <w:color w:val="606B78"/>
          <w:sz w:val="16"/>
        </w:rPr>
        <w:t>Durée totale : 300 minutes, pauses incluses dans la plage de présence mais hors temps pédagogique effectif.</w:t>
      </w:r>
    </w:p>
    <w:p>
      <w:pPr>
        <w:pStyle w:val="Heading1"/>
      </w:pPr>
      <w:r>
        <w:t>5. Répartition des contenus par profil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blHeader w:val="true"/>
        </w:trPr>
        <w:tc>
          <w:tcPr>
            <w:tcW w:type="dxa" w:w="306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Utilisateur laboratoire</w:t>
            </w:r>
          </w:p>
        </w:tc>
        <w:tc>
          <w:tcPr>
            <w:tcW w:type="dxa" w:w="2665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Administrateur laboratoire</w:t>
            </w:r>
          </w:p>
        </w:tc>
        <w:tc>
          <w:tcPr>
            <w:tcW w:type="dxa" w:w="2665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Superviseur / admin métier</w:t>
            </w:r>
          </w:p>
        </w:tc>
      </w:tr>
      <w:tr>
        <w:tc>
          <w:tcPr>
            <w:tcW w:type="dxa" w:w="306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Connexion, navigation, recherche, export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Réaliser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Réaliser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Contrôler</w:t>
            </w:r>
          </w:p>
        </w:tc>
      </w:tr>
      <w:tr>
        <w:tc>
          <w:tcPr>
            <w:tcW w:type="dxa" w:w="306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Fiche laboratoire et capacité journalière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Saisir / mettre à jour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Superviser / assister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Consulter selon étendue</w:t>
            </w:r>
          </w:p>
        </w:tc>
      </w:tr>
      <w:tr>
        <w:tc>
          <w:tcPr>
            <w:tcW w:type="dxa" w:w="306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Consommables et mouvements de stock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Enregistrer / consulter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Superviser / corriger selon droits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Consulter / analyser</w:t>
            </w:r>
          </w:p>
        </w:tc>
      </w:tr>
      <w:tr>
        <w:tc>
          <w:tcPr>
            <w:tcW w:type="dxa" w:w="306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Cartographie et notifications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Utiliser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Utiliser / coordonner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Utiliser / coordonner</w:t>
            </w:r>
          </w:p>
        </w:tc>
      </w:tr>
      <w:tr>
        <w:tc>
          <w:tcPr>
            <w:tcW w:type="dxa" w:w="306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Comptes, groupes et inscriptions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Non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Gérer dans le périmètre du laboratoire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Gérer dans le périmètre autorisé</w:t>
            </w:r>
          </w:p>
        </w:tc>
      </w:tr>
      <w:tr>
        <w:tc>
          <w:tcPr>
            <w:tcW w:type="dxa" w:w="306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Référentiels nationaux et nomenclatures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Consulter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Consulter ; modifier si droit spécifique</w:t>
            </w:r>
          </w:p>
        </w:tc>
        <w:tc>
          <w:tcPr>
            <w:tcW w:type="dxa" w:w="266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Administrer selon mandat métier</w:t>
            </w:r>
          </w:p>
        </w:tc>
      </w:tr>
      <w:tr>
        <w:tc>
          <w:tcPr>
            <w:tcW w:type="dxa" w:w="306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Journal et audit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Consulter les historiques autorisés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Contrôler</w:t>
            </w:r>
          </w:p>
        </w:tc>
        <w:tc>
          <w:tcPr>
            <w:tcW w:type="dxa" w:w="266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Auditer</w:t>
            </w:r>
          </w:p>
        </w:tc>
      </w:tr>
    </w:tbl>
    <w:p>
      <w:pPr>
        <w:pStyle w:val="Heading1"/>
      </w:pPr>
      <w:r>
        <w:t>6. Évaluation des acquis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Diagnostic d’entrée : 5 questions sur les rôles, les capacités et la traçabilité.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Évaluation formative : contrôle du résultat attendu à la fin de chaque exercice.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Évaluation finale : quiz de 10 questions et observation du scénario intégré.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Critère de réussite recommandé : au moins 80 % au quiz et réalisation sans erreur critique des actions liées au rôle.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Erreurs critiques : modification d’une donnée réelle, attribution d’une étendue trop large, absence de raison pour une incapacité, consommation supérieure au stock ou notification non ciblée.</w:t>
      </w:r>
    </w:p>
    <w:p>
      <w:pPr>
        <w:pStyle w:val="Heading1"/>
      </w:pPr>
      <w:r>
        <w:t>7. Livrables et ressources remis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Support de formation PowerPoint GeoLab II.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Cahier de scénarios et exercices avec données de test, résultats attendus et grille d’évaluation.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Guides Administrateur et Utilisateur GeoLab II fournis par le projet.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Liste des comptes de test communiquée séparément et protégée.</w:t>
      </w:r>
    </w:p>
    <w:p>
      <w:pPr>
        <w:pStyle w:val="Heading1"/>
      </w:pPr>
      <w:r>
        <w:t>8. Checklist du formateur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1701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Moment</w:t>
            </w:r>
          </w:p>
        </w:tc>
        <w:tc>
          <w:tcPr>
            <w:tcW w:type="dxa" w:w="8787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J-2</w:t>
            </w:r>
          </w:p>
        </w:tc>
        <w:tc>
          <w:tcPr>
            <w:tcW w:type="dxa" w:w="878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Tester URL, comptes, droits, téléchargement et affichage cartographique.</w:t>
            </w:r>
          </w:p>
        </w:tc>
      </w:tr>
      <w:tr>
        <w:tc>
          <w:tcPr>
            <w:tcW w:type="dxa" w:w="170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J-1</w:t>
            </w:r>
          </w:p>
        </w:tc>
        <w:tc>
          <w:tcPr>
            <w:tcW w:type="dxa" w:w="878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Affecter les binômes, les laboratoires de test et les consommables de formation.</w:t>
            </w:r>
          </w:p>
        </w:tc>
      </w:tr>
      <w:tr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Avant 09h00</w:t>
            </w:r>
          </w:p>
        </w:tc>
        <w:tc>
          <w:tcPr>
            <w:tcW w:type="dxa" w:w="878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Ouvrir la session de démonstration, masquer les mots de passe et préparer le dossier d’exports.</w:t>
            </w:r>
          </w:p>
        </w:tc>
      </w:tr>
      <w:tr>
        <w:tc>
          <w:tcPr>
            <w:tcW w:type="dxa" w:w="170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12h00</w:t>
            </w:r>
          </w:p>
        </w:tc>
        <w:tc>
          <w:tcPr>
            <w:tcW w:type="dxa" w:w="878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Vérifier les données créées le matin et corriger les doublons avant l’atelier stocks.</w:t>
            </w:r>
          </w:p>
        </w:tc>
      </w:tr>
      <w:tr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15h30</w:t>
            </w:r>
          </w:p>
        </w:tc>
        <w:tc>
          <w:tcPr>
            <w:tcW w:type="dxa" w:w="878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8"/>
              </w:rPr>
              <w:t>Exporter les résultats utiles, désactiver les comptes temporaires et planifier la remise à zéro.</w:t>
            </w:r>
          </w:p>
        </w:tc>
      </w:tr>
    </w:tbl>
    <w:p>
      <w:pPr>
        <w:spacing w:before="60" w:after="0"/>
      </w:pPr>
      <w:r>
        <w:rPr>
          <w:rFonts w:ascii="Calibri" w:hAnsi="Calibri"/>
          <w:b/>
          <w:color w:val="233752"/>
          <w:sz w:val="15"/>
        </w:rPr>
        <w:t xml:space="preserve">Références : </w:t>
      </w:r>
      <w:r>
        <w:rPr>
          <w:rFonts w:ascii="Calibri" w:hAnsi="Calibri"/>
          <w:i/>
          <w:color w:val="606B78"/>
          <w:sz w:val="15"/>
        </w:rPr>
        <w:t>Guide de l’utilisateur GeoLab II (47 p.) ; Guide de l’administrateur GeoLab II (35 p.) ; présentation générale de novembre 2024 ; analyse fonctionnelle des nouveaux modules.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35" w:bottom="850" w:left="935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06B78"/>
        <w:sz w:val="17"/>
      </w:rPr>
      <w:t xml:space="preserve">Page </w:t>
      <w:fldChar w:fldCharType="begin"/>
      <w:instrText xml:space="preserve">PAGE</w:instrText>
      <w:fldChar w:fldCharType="end"/>
    </w:r>
    <w:r>
      <w:rPr>
        <w:rFonts w:ascii="Calibri" w:hAnsi="Calibri"/>
        <w:color w:val="606B78"/>
        <w:sz w:val="17"/>
      </w:rPr>
      <w:t xml:space="preserve"> / </w:t>
    </w:r>
    <w:r>
      <w:rPr>
        <w:rFonts w:ascii="Calibri" w:hAnsi="Calibri"/>
        <w:color w:val="606B78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DE8F5"/>
      </w:pBdr>
    </w:pPr>
    <w:r>
      <w:rPr>
        <w:rFonts w:ascii="Calibri" w:hAnsi="Calibri"/>
        <w:b/>
        <w:color w:val="006C67"/>
        <w:sz w:val="17"/>
      </w:rPr>
      <w:t>GeoLab II - Plan de formation</w:t>
    </w:r>
    <w:r>
      <w:rPr>
        <w:rFonts w:ascii="Calibri" w:hAnsi="Calibri"/>
        <w:color w:val="606B78"/>
        <w:sz w:val="17"/>
      </w:rPr>
      <w:t xml:space="preserve">  |  Formation fonctionnelle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/>
      <w:color w:val="1F2A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337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06C6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23375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06C67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/>
    </w:pPr>
    <w:rPr>
      <w:rFonts w:ascii="Calibri" w:hAnsi="Calibri"/>
      <w:color w:val="606B78"/>
      <w:sz w:val="25"/>
    </w:rPr>
  </w:style>
  <w:style w:type="paragraph" w:customStyle="1" w:styleId="Small">
    <w:name w:val="Small"/>
    <w:rPr>
      <w:rFonts w:ascii="Calibri" w:hAnsi="Calibri"/>
      <w:color w:val="606B7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geolab.delta-soft.net/geo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